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24 2 vom 19. März 2024</w:t>
      </w:r>
    </w:p>
    <w:p>
      <w:r>
        <w:t>BL Gerichte, 2024-03-19, DE</w:t>
      </w:r>
    </w:p>
    <w:p>
      <w:r>
        <w:rPr>
          <w:b/>
        </w:rPr>
        <w:t xml:space="preserve">Quelle: </w:t>
      </w:r>
      <w:r>
        <w:t>https://mcp.opencaselaw.ch/entscheid/bl_gerichte_420 24 2</w:t>
      </w:r>
    </w:p>
    <w:p>
      <w:r>
        <w:t>FR: BL_GERICHTE 420 24 2 du 19 mars 2024</w:t>
      </w:r>
    </w:p>
    <w:p>
      <w:r>
        <w:t>IT: BL_GERICHTE 420 24 2 del 19 marzo 2024</w:t>
      </w:r>
    </w:p>
    <w:p>
      <w:pPr>
        <w:pStyle w:val="Heading2"/>
      </w:pPr>
      <w:r>
        <w:t>Regeste</w:t>
      </w:r>
    </w:p>
    <w:p>
      <w:r>
        <w:t>RR BL-Beschluss Nr. 2023-XYZ vom 12. Dezember 2023 zur Verwertung eines Liquidationsanteils an einem Gemeinschaftsvermögen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in Anwendung von Art. 20a Abs. 2 Ziff. 5 SchKG keine Kosten erhoben. Gemäss Art. 62 Abs. 2 der Gebührenverordnung zum Bundesgesetz über Schuldbetreibung und Konkurs (GebV SchKG) dürfen im Beschwerdeverfahren keine Parteientschädigungen zugesprochen werden. Demzufolge trägt jede Partei ihre Parteikosten selber.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